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240VAC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Bis zu 16-ch@4 MP Dekodierkapazität</w:t>
      </w:r>
    </w:p>
    <w:p>
      <w:pPr>
        <w:pStyle w:val="p2Style"/>
      </w:pPr>
      <w:r>
        <w:rPr>
          <w:rStyle w:val="textStyle"/>
        </w:rPr>
        <w:t xml:space="preserve">Bis zu 256 Mbps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