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DS-2TD2637-15/QY(O-STD)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15mm,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Thermalauflösung 384 × 288, 17 μm, VOx UFPA, NETD ≤ 35 mK (25°C, F1.0)</w:t>
      </w:r>
    </w:p>
    <w:p>
      <w:pPr>
        <w:pStyle w:val="p2Style"/>
      </w:pPr>
      <w:r>
        <w:rPr>
          <w:rStyle w:val="textStyle"/>
        </w:rPr>
        <w:t xml:space="preserve">VCA: Fahrzeug-/Personenklassifizierung</w:t>
      </w:r>
    </w:p>
    <w:p>
      <w:pPr>
        <w:pStyle w:val="p2Style"/>
      </w:pPr>
      <w:r>
        <w:rPr>
          <w:rStyle w:val="textStyle"/>
        </w:rPr>
        <w:t xml:space="preserve">Temperaturausnahmealarm zur Brandfrüherkennung, -20 °C bis 150 °C, ± 8 °C</w:t>
      </w:r>
    </w:p>
    <w:p>
      <w:pPr>
        <w:pStyle w:val="p2Style"/>
      </w:pPr>
      <w:r>
        <w:rPr>
          <w:rStyle w:val="textStyle"/>
        </w:rPr>
        <w:t xml:space="preserve">Algorithmus zur Erkennung von Feuer und Rauch</w:t>
      </w:r>
    </w:p>
    <w:p>
      <w:pPr>
        <w:pStyle w:val="p2Style"/>
      </w:pPr>
      <w:r>
        <w:rPr>
          <w:rStyle w:val="textStyle"/>
        </w:rPr>
        <w:t xml:space="preserve">Unterstützung des Sonnenreflexionsfilter-Algorithmus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6931847160319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