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NBE-3702-AL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1920x1080@30fps, 3,3-10,2mm, IR, PoE,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1920x1080</w:t>
      </w:r>
    </w:p>
    <w:p>
      <w:pPr>
        <w:pStyle w:val="p2Style"/>
      </w:pPr>
      <w:r>
        <w:rPr>
          <w:rStyle w:val="textStyle"/>
        </w:rPr>
        <w:t xml:space="preserve">inkl. IVA Pro Building</w:t>
      </w:r>
    </w:p>
    <w:p>
      <w:pPr>
        <w:pStyle w:val="p2Style"/>
      </w:pPr>
      <w:r>
        <w:rPr>
          <w:rStyle w:val="textStyle"/>
        </w:rPr>
        <w:t xml:space="preserve">Integriertes Secure Element mit TPM für höchste Sicherheit</w:t>
      </w:r>
    </w:p>
    <w:p>
      <w:pPr>
        <w:pStyle w:val="p2Style"/>
      </w:pPr>
      <w:r>
        <w:rPr>
          <w:rStyle w:val="textStyle"/>
        </w:rPr>
        <w:t xml:space="preserve">eingebauter IR Strahler mit einer Reichweite von 30m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31 - 106°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F.01U.414.799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3100i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DINION 3100i Outdoor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2026-10-19T09:59:55+00:00</dcterms:created>
  <dcterms:modified xsi:type="dcterms:W3CDTF">2026-10-19T09:59:55+00:00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