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DS-2CE16D8T-IT1F(2.8mm)(O-STD)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1920x1080,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2-MP-Hochleistungs-CMOS-Sensor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Auflösung 1920 × 1080</w:t>
      </w:r>
    </w:p>
    <w:p>
      <w:pPr>
        <w:pStyle w:val="p2Style"/>
      </w:pPr>
      <w:r>
        <w:rPr>
          <w:rStyle w:val="textStyle"/>
        </w:rPr>
        <w:t xml:space="preserve">130 dB True WDR, 3D-DNR</w:t>
      </w:r>
    </w:p>
    <w:p>
      <w:pPr>
        <w:pStyle w:val="p2Style"/>
      </w:pPr>
      <w:r>
        <w:rPr>
          <w:rStyle w:val="textStyle"/>
        </w:rPr>
        <w:t xml:space="preserve">EXIR 2.0, Smart IR, bis zu 30 m IR-Reichweite</w:t>
      </w:r>
    </w:p>
    <w:p>
      <w:pPr>
        <w:pStyle w:val="p2Style"/>
      </w:pPr>
      <w:r>
        <w:rPr>
          <w:rStyle w:val="textStyle"/>
        </w:rPr>
        <w:t xml:space="preserve">4-in-1-Videoausgang (umschaltbar zwischen TVI/AHD/CVI/CVBS)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Up-the-Coax (HIKVISION-C)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2026-07-06T01:53:34+00:00</dcterms:created>
  <dcterms:modified xsi:type="dcterms:W3CDTF">2026-07-06T01:53:34+00:00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