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TU9003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Tastatur für Videomanagement, LCD-Display,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schnellen Navigation zwischen Ansichten</w:t>
      </w:r>
    </w:p>
    <w:p>
      <w:pPr>
        <w:pStyle w:val="p2Style"/>
      </w:pPr>
      <w:r>
        <w:rPr>
          <w:rStyle w:val="textStyle"/>
        </w:rPr>
        <w:t xml:space="preserve">Eigenständiges oder integriertes Gerät</w:t>
      </w:r>
    </w:p>
    <w:p>
      <w:pPr>
        <w:pStyle w:val="p2Style"/>
      </w:pPr>
      <w:r>
        <w:rPr>
          <w:rStyle w:val="textStyle"/>
        </w:rPr>
        <w:t xml:space="preserve">Konfigurierbares LCD-Display</w:t>
      </w:r>
    </w:p>
    <w:p>
      <w:pPr>
        <w:pStyle w:val="p2Style"/>
      </w:pPr>
      <w:r>
        <w:rPr>
          <w:rStyle w:val="textStyle"/>
        </w:rPr>
        <w:t xml:space="preserve">Professionelles und modernes Design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2026-08-16T00:20:52+00:00</dcterms:created>
  <dcterms:modified xsi:type="dcterms:W3CDTF">2026-08-16T00:20:52+00:00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