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PNM-C16013RVQ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16MP, 4 x 4MP, IR, 3,19mm fix, WDR, IP66, IK09,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16MP, 4x 4MP Multidirektionale Kamera, eine IP-Adresse</w:t>
      </w:r>
    </w:p>
    <w:p>
      <w:pPr>
        <w:pStyle w:val="p2Style"/>
      </w:pPr>
      <w:r>
        <w:rPr>
          <w:rStyle w:val="textStyle"/>
        </w:rPr>
        <w:t xml:space="preserve">Bildrate 15fps@4MP (H.265, H.264)</w:t>
      </w:r>
    </w:p>
    <w:p>
      <w:pPr>
        <w:pStyle w:val="p2Style"/>
      </w:pPr>
      <w:r>
        <w:rPr>
          <w:rStyle w:val="textStyle"/>
        </w:rPr>
        <w:t xml:space="preserve">Objektive mit fester Brennweite 3,19mm</w:t>
      </w:r>
    </w:p>
    <w:p>
      <w:pPr>
        <w:pStyle w:val="p2Style"/>
      </w:pPr>
      <w:r>
        <w:rPr>
          <w:rStyle w:val="textStyle"/>
        </w:rPr>
        <w:t xml:space="preserve">USB-Anschluss für einfache Installation</w:t>
      </w:r>
    </w:p>
    <w:p>
      <w:pPr>
        <w:pStyle w:val="p2Style"/>
      </w:pPr>
      <w:r>
        <w:rPr>
          <w:rStyle w:val="textStyle"/>
        </w:rPr>
        <w:t xml:space="preserve">Analytische Ereignisse basierend auf AI-Engine:</w:t>
      </w:r>
    </w:p>
    <w:p>
      <w:pPr>
        <w:pStyle w:val="p2Style"/>
      </w:pPr>
      <w:r>
        <w:rPr>
          <w:rStyle w:val="textStyle"/>
        </w:rPr>
        <w:t xml:space="preserve">Objekterkennung (Person/Fahrzeug)</w:t>
      </w:r>
    </w:p>
    <w:p>
      <w:pPr>
        <w:pStyle w:val="p2Style"/>
      </w:pPr>
      <w:r>
        <w:rPr>
          <w:rStyle w:val="textStyle"/>
        </w:rPr>
        <w:t xml:space="preserve">KI-basierte Erkennung Herumlungern und Linienüberquerungen</w:t>
      </w:r>
    </w:p>
    <w:p>
      <w:pPr>
        <w:pStyle w:val="p2Style"/>
      </w:pPr>
      <w:r>
        <w:rPr>
          <w:rStyle w:val="textStyle"/>
        </w:rPr>
        <w:t xml:space="preserve">WiseNRII und WiseStreamIII</w:t>
      </w:r>
    </w:p>
    <w:p>
      <w:pPr>
        <w:pStyle w:val="p2Style"/>
      </w:pPr>
      <w:r>
        <w:rPr>
          <w:rStyle w:val="textStyle"/>
        </w:rPr>
        <w:t xml:space="preserve">Cybersicherheit (TPM 2.0, FIPS 140-2 zertifiziert)</w:t>
      </w:r>
    </w:p>
    <w:p>
      <w:pPr>
        <w:pStyle w:val="p2Style"/>
      </w:pPr>
      <w:r>
        <w:rPr>
          <w:rStyle w:val="textStyle"/>
        </w:rPr>
        <w:t xml:space="preserve">Spannungsversorgung PoE+(IEEE802.3at type 2, Class4)</w:t>
      </w:r>
    </w:p>
    <w:p>
      <w:pPr>
        <w:pStyle w:val="p2Style"/>
      </w:pPr>
      <w:r>
        <w:rPr>
          <w:rStyle w:val="textStyle"/>
        </w:rPr>
        <w:t xml:space="preserve">IP66, IK10, NEMA4X, IK09)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PNM-C16013RVQ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SBP-200HMW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Aluminium, weiß, TR20, kompatibel PNM-C16013RVQ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30cm,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 weiß, TR30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2026-10-19T05:17:10+00:00</dcterms:created>
  <dcterms:modified xsi:type="dcterms:W3CDTF">2026-10-19T05:17:10+00:00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