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W110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 (75 x 55 x 19 mm)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Offene Standards - einfach integrierbar</w:t>
      </w:r>
    </w:p>
    <w:p>
      <w:pPr>
        <w:pStyle w:val="p2Style"/>
      </w:pPr>
      <w:r>
        <w:rPr>
          <w:rStyle w:val="textStyle"/>
        </w:rPr>
        <w:t xml:space="preserve">Echte End-to-End-Verschlüsselung</w:t>
      </w:r>
    </w:p>
    <w:p>
      <w:pPr>
        <w:pStyle w:val="p2Style"/>
      </w:pPr>
      <w:r>
        <w:rPr>
          <w:rStyle w:val="textStyle"/>
        </w:rPr>
        <w:t xml:space="preserve">Signiertes Video/signierte Firmware, sicherer Schlüsselspeicher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02644-021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TW1106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TW1107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 für AXIS W100 Body Worn Kamera,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2026-08-03T00:54:16+00:00</dcterms:created>
  <dcterms:modified xsi:type="dcterms:W3CDTF">2026-08-03T00:54:16+00:00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