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P3737-PLE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4x 2560x1440, IP66/67, IK09,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4*5MP bei 20 Bildern pro Sekunde pro Kanal</w:t>
      </w:r>
    </w:p>
    <w:p>
      <w:pPr>
        <w:pStyle w:val="p2Style"/>
      </w:pPr>
      <w:r>
        <w:rPr>
          <w:rStyle w:val="textStyle"/>
        </w:rPr>
        <w:t xml:space="preserve">360°-IR-Strahler mit einzeln ansteuerbaren LEDs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TP3105-E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Deckeneinbauadapter, für AXIS P37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TP3813-E VENTLESS METAL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lüfterlos, IP66, IK09, für ausgewählte Axis P37 Multidirektional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TP3831-E DOME COVER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TP3832-E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TP3833-E DOME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Schwarzes Gehäuse für AXIS P37 Panoramic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TP3907 CLAMP BRACKET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 für ausgewählte Panorama-Kameras der AXIS P37 Serie,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2026-06-05T19:34:13+00:00</dcterms:created>
  <dcterms:modified xsi:type="dcterms:W3CDTF">2026-06-05T19:34:13+00:00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