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3,3-5,7mm MVF, WDR, IP66, IK10,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30fps@4MP (H.265, H.264)</w:t>
      </w:r>
    </w:p>
    <w:p>
      <w:pPr>
        <w:pStyle w:val="p2Style"/>
      </w:pPr>
      <w:r>
        <w:rPr>
          <w:rStyle w:val="textStyle"/>
        </w:rPr>
        <w:t xml:space="preserve">Motorisiertes Varifokalobjektiv 3,3~5,7mm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AI-basierte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 (basierend auf AI-Engine)</w:t>
      </w:r>
    </w:p>
    <w:p>
      <w:pPr>
        <w:pStyle w:val="p2Style"/>
      </w:pPr>
      <w:r>
        <w:rPr>
          <w:rStyle w:val="textStyle"/>
        </w:rPr>
        <w:t xml:space="preserve">I/O Box Kompatibilität für Audio &amp; Alarm I/O</w:t>
      </w:r>
    </w:p>
    <w:p>
      <w:pPr>
        <w:pStyle w:val="p2Style"/>
      </w:pPr>
      <w:r>
        <w:rPr>
          <w:rStyle w:val="textStyle"/>
        </w:rPr>
        <w:t xml:space="preserve">PoE+, HPoE Stromversorgung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IP66, IK10, NEMA4X,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PNM-C16083RVQ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2026-09-21T21:25:49+00:00</dcterms:created>
  <dcterms:modified xsi:type="dcterms:W3CDTF">2026-09-21T21:25:49+00:00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