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Touch keypad &amp; RFID 125kHz, Seos 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RFID, secured 13,56MHz, NFC PICard compatible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Hohe Empfindlichkeit der Touch-Schicht (0.1pF)</w:t>
      </w:r>
    </w:p>
    <w:p>
      <w:pPr>
        <w:pStyle w:val="p2Style"/>
      </w:pPr>
      <w:r>
        <w:rPr>
          <w:rStyle w:val="textStyle"/>
        </w:rPr>
        <w:t xml:space="preserve">Numerisches Tastenmodul mit Touch-Technologie</w:t>
      </w:r>
    </w:p>
    <w:p>
      <w:pPr>
        <w:pStyle w:val="p2Style"/>
      </w:pPr>
      <w:r>
        <w:rPr>
          <w:rStyle w:val="textStyle"/>
        </w:rPr>
        <w:t xml:space="preserve">Durchleuchtete Tasten mit einstellbarer Helligkeit</w:t>
      </w:r>
    </w:p>
    <w:p>
      <w:pPr>
        <w:pStyle w:val="p2Style"/>
      </w:pPr>
      <w:r>
        <w:rPr>
          <w:rStyle w:val="textStyle"/>
        </w:rPr>
        <w:t xml:space="preserve">Wassertoleranz gegen falsche Berührung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8595159515953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91550946-S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2026-10-30T03:18:44+00:00</dcterms:created>
  <dcterms:modified xsi:type="dcterms:W3CDTF">2026-10-30T03:18:44+00:00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