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 125kHz, 13.56MHz, PICard 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125kHz, NFC ready, 3m Eth cab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Mühelose Installation</w:t>
      </w:r>
    </w:p>
    <w:p>
      <w:pPr>
        <w:pStyle w:val="p2Style"/>
      </w:pPr>
      <w:r>
        <w:rPr>
          <w:rStyle w:val="textStyle"/>
        </w:rPr>
        <w:t xml:space="preserve">Flexible Zutrittsmöglichkeiten</w:t>
      </w:r>
    </w:p>
    <w:p>
      <w:pPr>
        <w:pStyle w:val="p2Style"/>
      </w:pPr>
      <w:r>
        <w:rPr>
          <w:rStyle w:val="textStyle"/>
        </w:rPr>
        <w:t xml:space="preserve">Controller und Lesegerät in einem</w:t>
      </w:r>
    </w:p>
    <w:p>
      <w:pPr>
        <w:pStyle w:val="p2Style"/>
      </w:pPr>
      <w:r>
        <w:rPr>
          <w:rStyle w:val="textStyle"/>
        </w:rPr>
        <w:t xml:space="preserve">Stark in jeder Umgebung</w:t>
      </w:r>
    </w:p>
    <w:p>
      <w:pPr>
        <w:pStyle w:val="p2Style"/>
      </w:pPr>
      <w:r>
        <w:rPr>
          <w:rStyle w:val="textStyle"/>
        </w:rPr>
        <w:t xml:space="preserve">Liest gesicherte RFID-Karten</w:t>
      </w:r>
    </w:p>
    <w:p>
      <w:pPr>
        <w:pStyle w:val="p2Style"/>
      </w:pPr>
      <w:r>
        <w:rPr>
          <w:rStyle w:val="textStyle"/>
        </w:rPr>
        <w:t xml:space="preserve">Schlankes Design</w:t>
      </w:r>
    </w:p>
    <w:p>
      <w:pPr>
        <w:pStyle w:val="p2Style"/>
      </w:pPr>
      <w:r>
        <w:rPr>
          <w:rStyle w:val="textStyle"/>
        </w:rPr>
        <w:t xml:space="preserve">3m Ethernet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 DESFire, 2N Mobile Key,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Montagezubehör zum Verstecken von Kabeln in der Wand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 surface mounting backplate/spacer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2026-07-21T07:43:00+00:00</dcterms:created>
  <dcterms:modified xsi:type="dcterms:W3CDTF">2026-07-21T07:43:00+00:00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