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DS-2CD3746G2-IZS(2.7-13.5mm)(H)/eF/O-STD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Dome, Tag/Nacht, 4MP, 2,7-13,5mm,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Bildgebung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3D-DNR-Technologie liefert klare und scharfe Bilder</w:t>
      </w:r>
    </w:p>
    <w:p>
      <w:pPr>
        <w:pStyle w:val="p2Style"/>
      </w:pPr>
      <w:r>
        <w:rPr>
          <w:rStyle w:val="textStyle"/>
        </w:rPr>
        <w:t xml:space="preserve">Motorisiertes Varioobjektiv für einfache Installation</w:t>
      </w:r>
    </w:p>
    <w:p>
      <w:pPr>
        <w:pStyle w:val="p2Style"/>
      </w:pPr>
      <w:r>
        <w:rPr>
          <w:rStyle w:val="textStyle"/>
        </w:rPr>
        <w:t xml:space="preserve">Wasser- und staubgeschützt (IP66)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6942160411903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311323515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2026-07-21T09:26:52+00:00</dcterms:created>
  <dcterms:modified xsi:type="dcterms:W3CDTF">2026-07-21T09:26:52+00:00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