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MHW-WZ2G9-GPU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GPU T4000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Bedienstation für höchste Anforderungen</w:t>
      </w:r>
    </w:p>
    <w:p>
      <w:pPr>
        <w:pStyle w:val="p2Style"/>
      </w:pPr>
      <w:r>
        <w:rPr>
          <w:rStyle w:val="textStyle"/>
        </w:rPr>
        <w:t xml:space="preserve">Management videoorientierter Anwendungen</w:t>
      </w:r>
    </w:p>
    <w:p>
      <w:pPr>
        <w:pStyle w:val="p2Style"/>
      </w:pPr>
      <w:r>
        <w:rPr>
          <w:rStyle w:val="textStyle"/>
        </w:rPr>
        <w:t xml:space="preserve">Für Bosch BVC oder BVMS</w:t>
      </w:r>
    </w:p>
    <w:p>
      <w:pPr>
        <w:pStyle w:val="p2Style"/>
      </w:pPr>
      <w:r>
        <w:rPr>
          <w:rStyle w:val="textStyle"/>
        </w:rPr>
        <w:t xml:space="preserve">Multi-Monitor-Unterstützung bis zu 3</w:t>
      </w:r>
    </w:p>
    <w:p>
      <w:pPr>
        <w:pStyle w:val="p2Style"/>
      </w:pPr>
      <w:r>
        <w:rPr>
          <w:rStyle w:val="textStyle"/>
        </w:rPr>
        <w:t xml:space="preserve">NVIDIA T400 Grafikkarte</w:t>
      </w:r>
    </w:p>
    <w:p>
      <w:pPr>
        <w:pStyle w:val="p2Style"/>
      </w:pPr>
      <w:r>
        <w:rPr>
          <w:rStyle w:val="textStyle"/>
        </w:rPr>
        <w:t xml:space="preserve">Inklusive US-amerikanischer Tastatur</w:t>
      </w:r>
    </w:p>
    <w:p>
      <w:pPr>
        <w:pStyle w:val="p2Style"/>
      </w:pPr>
      <w:r>
        <w:rPr>
          <w:rStyle w:val="textStyle"/>
        </w:rPr>
        <w:t xml:space="preserve">Deutsche Tastatur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2026-06-05T21:02:19+00:00</dcterms:created>
  <dcterms:modified xsi:type="dcterms:W3CDTF">2026-06-05T21:02:19+00:00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