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WV-S85402-V2L1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2x4MP@30fps,2,9-7,3mm AI, IK10, IP66/IP67, out,black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2x4MP (8MP)</w:t>
      </w:r>
    </w:p>
    <w:p>
      <w:pPr>
        <w:pStyle w:val="p2Style"/>
      </w:pPr>
      <w:r>
        <w:rPr>
          <w:rStyle w:val="textStyle"/>
        </w:rPr>
        <w:t xml:space="preserve">eine IP Adresse, eine VMS Lizenz</w:t>
      </w:r>
    </w:p>
    <w:p>
      <w:pPr>
        <w:pStyle w:val="p2Style"/>
      </w:pPr>
      <w:r>
        <w:rPr>
          <w:rStyle w:val="textStyle"/>
        </w:rPr>
        <w:t xml:space="preserve">Bis zu 4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Großer Blickwinkel (Horizontal 100°)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4582619074918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WV-S85402-V2L1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2026-07-21T10:23:33+00:00</dcterms:created>
  <dcterms:modified xsi:type="dcterms:W3CDTF">2026-07-21T10:23:33+00:00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