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30cm, weiß, kompatibel u. a. mit SBP-120HMW/140HMW/160HMW1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SBP-120HMW/140HMW/160HMW1/180HMW1</w:t>
      </w:r>
    </w:p>
    <w:p>
      <w:pPr>
        <w:pStyle w:val="p2Style"/>
      </w:pPr>
      <w:r>
        <w:rPr>
          <w:rStyle w:val="textStyle"/>
        </w:rPr>
        <w:t xml:space="preserve">Für weitere kompatible Modelle besuchen Sie bitte</w:t>
      </w:r>
    </w:p>
    <w:p>
      <w:pPr>
        <w:pStyle w:val="p2Style"/>
      </w:pPr>
      <w:r>
        <w:rPr>
          <w:rStyle w:val="textStyle"/>
        </w:rPr>
        <w:t xml:space="preserve">die Hanwha Vision Website oder verwenden Sie</w:t>
      </w:r>
    </w:p>
    <w:p>
      <w:pPr>
        <w:pStyle w:val="p2Style"/>
      </w:pPr>
      <w:r>
        <w:rPr>
          <w:rStyle w:val="textStyle"/>
        </w:rPr>
        <w:t xml:space="preserve">die entsprechende Toolbox von Hanwha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2026-06-14T17:18:59+00:00</dcterms:created>
  <dcterms:modified xsi:type="dcterms:W3CDTF">2026-06-14T17:18:59+00:00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