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238046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WV-S15700-V2LN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S-Serie, 8MP@30fps, 4,3-8,6mm AI, IK10, IP66,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132dB</w:t>
      </w:r>
    </w:p>
    <w:p>
      <w:pPr>
        <w:pStyle w:val="p2Style"/>
      </w:pPr>
      <w:r>
        <w:rPr>
          <w:rStyle w:val="textStyle"/>
        </w:rPr>
        <w:t xml:space="preserve">Farbige Nachtsicht (0,04 bis 0,06 lx)</w:t>
      </w:r>
    </w:p>
    <w:p>
      <w:pPr>
        <w:pStyle w:val="p2Style"/>
      </w:pPr>
      <w:r>
        <w:rPr>
          <w:rStyle w:val="textStyle"/>
        </w:rPr>
        <w:t xml:space="preserve">Smart Coding (mit AI-Engine)</w:t>
      </w:r>
    </w:p>
    <w:p>
      <w:pPr>
        <w:pStyle w:val="p2Style"/>
      </w:pPr>
      <w:r>
        <w:rPr>
          <w:rStyle w:val="textStyle"/>
        </w:rPr>
        <w:t xml:space="preserve">ClearSight-Beschichtung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 Lux bei F1,5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53 - 104°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4,3 - 8,6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4582619071467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WV-S15700-V2LN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2026-07-21T07:24:21+00:00</dcterms:created>
  <dcterms:modified xsi:type="dcterms:W3CDTF">2026-07-21T07:24:21+00:00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