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WV-U2540LA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4MP@30fps, 3,2mm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 (2688x1520)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102dB</w:t>
      </w:r>
    </w:p>
    <w:p>
      <w:pPr>
        <w:pStyle w:val="p2Style"/>
      </w:pPr>
      <w:r>
        <w:rPr>
          <w:rStyle w:val="textStyle"/>
        </w:rPr>
        <w:t xml:space="preserve">Farbige Nachtsicht (0,019 bis 0,3 lx)</w:t>
      </w:r>
    </w:p>
    <w:p>
      <w:pPr>
        <w:pStyle w:val="p2Style"/>
      </w:pPr>
      <w:r>
        <w:rPr>
          <w:rStyle w:val="textStyle"/>
        </w:rPr>
        <w:t xml:space="preserve">Smart Coding (H.265)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2680x1520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4549980538364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WV-U2540LA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WV-U21x0(L)/WV-U25x0(L)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U2130L, U2140L, U2530L, U2540L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2026-07-21T09:45:35+00:00</dcterms:created>
  <dcterms:modified xsi:type="dcterms:W3CDTF">2026-07-21T09:45:35+00:00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