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WV-U2532LA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2,9-7,3mm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Integrierter 2,5-facher Motorzoom und motorisiertes Fokusobjektiv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(0,006 bis 0,1 lx)</w:t>
      </w:r>
    </w:p>
    <w:p>
      <w:pPr>
        <w:pStyle w:val="p2Style"/>
      </w:pPr>
      <w:r>
        <w:rPr>
          <w:rStyle w:val="textStyle"/>
        </w:rPr>
        <w:t xml:space="preserve">Smart Coding (H.265)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42 - 97°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4549980538357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WV-U2532LA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2026-07-21T07:21:06+00:00</dcterms:created>
  <dcterms:modified xsi:type="dcterms:W3CDTF">2026-07-21T07:21:06+00:00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