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WV-U2530LA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(0,006 bis 0,1 lx)</w:t>
      </w:r>
    </w:p>
    <w:p>
      <w:pPr>
        <w:pStyle w:val="p2Style"/>
      </w:pPr>
      <w:r>
        <w:rPr>
          <w:rStyle w:val="textStyle"/>
        </w:rPr>
        <w:t xml:space="preserve">Smart Coding (H.265)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4549980538340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WV-U2530LA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WV-U21x0(L)/WV-U25x0(L)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U2130L, U2140L, U2530L, U2540L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2026-10-19T01:07:25+00:00</dcterms:created>
  <dcterms:modified xsi:type="dcterms:W3CDTF">2026-10-19T01:07:25+00:00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