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WV-U2132LA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U-Serie, 2MP@30fps, 2,9-7,3mm Korridorfunktion,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2,5-facher Motorzoom und motorisiertes Fokusobjektiv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120dB</w:t>
      </w:r>
    </w:p>
    <w:p>
      <w:pPr>
        <w:pStyle w:val="p2Style"/>
      </w:pPr>
      <w:r>
        <w:rPr>
          <w:rStyle w:val="textStyle"/>
        </w:rPr>
        <w:t xml:space="preserve">Farbige Nachtsicht (0,006 bis 0,1 lx)</w:t>
      </w:r>
    </w:p>
    <w:p>
      <w:pPr>
        <w:pStyle w:val="p2Style"/>
      </w:pPr>
      <w:r>
        <w:rPr>
          <w:rStyle w:val="textStyle"/>
        </w:rPr>
        <w:t xml:space="preserve">Smart Coding (H.265)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42 - 97°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4549980538203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WV-U2132LA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2026-06-05T19:33:39+00:00</dcterms:created>
  <dcterms:modified xsi:type="dcterms:W3CDTF">2026-06-05T19:33:39+00:00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