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WV-S25500-V3LN1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5MP@30fps, 2,9-9mm AI, IK10, IP66, IR, out,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(0,05 bis 0,07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Vandalismusgeschützt (IK10, 50J)</w:t>
      </w:r>
    </w:p>
    <w:p>
      <w:pPr>
        <w:pStyle w:val="p2Style"/>
      </w:pPr>
      <w:r>
        <w:rPr>
          <w:rStyle w:val="textStyle"/>
        </w:rPr>
        <w:t xml:space="preserve">Glasfaser-Medienkonvertereinheit (optional WV-S25F1)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33 - 103°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4582619071566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WV-S25500-V3LN1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in Komb. Mit WV-QWL500-B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2026-06-05T19:50:00+00:00</dcterms:created>
  <dcterms:modified xsi:type="dcterms:W3CDTF">2026-06-05T19:50:00+00:00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