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NV-C8083R/C9083R, QNV-C8011R/C8012/C9011R,</w:t>
      </w:r>
    </w:p>
    <w:p>
      <w:pPr>
        <w:pStyle w:val="p2Style"/>
      </w:pPr>
      <w:r>
        <w:rPr>
          <w:rStyle w:val="textStyle"/>
        </w:rPr>
        <w:t xml:space="preserve">QND-6012R(1)/22R(1)/72R(1)/82R(1),</w:t>
      </w:r>
    </w:p>
    <w:p>
      <w:pPr>
        <w:pStyle w:val="p2Style"/>
      </w:pPr>
      <w:r>
        <w:rPr>
          <w:rStyle w:val="textStyle"/>
        </w:rPr>
        <w:t xml:space="preserve">QND-7012R/22R/82R, QNE-8011R/21R,</w:t>
      </w:r>
    </w:p>
    <w:p>
      <w:pPr>
        <w:pStyle w:val="p2Style"/>
      </w:pPr>
      <w:r>
        <w:rPr>
          <w:rStyle w:val="textStyle"/>
        </w:rPr>
        <w:t xml:space="preserve">LND-6012R/22R/72R,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2026-10-05T12:32:41+00:00</dcterms:created>
  <dcterms:modified xsi:type="dcterms:W3CDTF">2026-10-05T12:32:41+00:00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