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Audio IN/OUT and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Audio Line IN/OUT 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Lizenz für die Nutzung der Audio Line IN/OUT Schnittstelle, Audiokompression G.711 oder AAC</w:t>
      </w:r>
    </w:p>
    <w:p>
      <w:pPr>
        <w:pStyle w:val="p2Style"/>
      </w:pPr>
      <w:r>
        <w:rPr>
          <w:rStyle w:val="textStyle"/>
        </w:rPr>
        <w:t xml:space="preserve">Empfohlen für die Nutzung als Gegensprechanlage (zusätzliche Hardware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2026-08-16T10:24:26+00:00</dcterms:created>
  <dcterms:modified xsi:type="dcterms:W3CDTF">2026-08-16T10:24:26+00:00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