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Adaper (IR BOX)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eines DOMREA®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DF4000HD-DN/IR</w:t>
      </w:r>
    </w:p>
    <w:p>
      <w:pPr>
        <w:pStyle w:val="p2Style"/>
      </w:pPr>
      <w:r>
        <w:rPr>
          <w:rStyle w:val="textStyle"/>
        </w:rPr>
        <w:t xml:space="preserve">Kompatibel mit DF5000HD-DN/IR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