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S4 33/19 DN Stadium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33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33 Megapixel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19,7°, Vertikales Blickfeld: 11,7°</w:t>
      </w:r>
    </w:p>
    <w:p>
      <w:pPr>
        <w:pStyle w:val="p2Style"/>
      </w:pPr>
      <w:r>
        <w:rPr>
          <w:rStyle w:val="textStyle"/>
        </w:rPr>
        <w:t xml:space="preserve">Auflösung von 125 px/m auf bis zu 140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008814.401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Ultraline Stadium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4 Panomera® EdgeAnalytics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Software Maintance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2026-05-26T02:52:05+00:00</dcterms:created>
  <dcterms:modified xsi:type="dcterms:W3CDTF">2026-05-26T02:52:05+00:00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