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S8 190/30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190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190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30°, Vertikales Blickfeld: 52°</w:t>
      </w:r>
    </w:p>
    <w:p>
      <w:pPr>
        <w:pStyle w:val="p2Style"/>
      </w:pPr>
      <w:r>
        <w:rPr>
          <w:rStyle w:val="textStyle"/>
        </w:rPr>
        <w:t xml:space="preserve">Auflösung von 125 px/m auf bis zu 160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008801.401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S8 Ultraline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2026-10-19T06:00:52+00:00</dcterms:created>
  <dcterms:modified xsi:type="dcterms:W3CDTF">2026-10-19T06:00:52+00:00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