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DF5050HD-DN (F1.4 / 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Box-Gehäuse, motorgetriebenes Varifokal-Objektiv, F1.4 / 3 - 10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111°, Vertikales Blickfeld: 59,2°</w:t>
      </w:r>
    </w:p>
    <w:p>
      <w:pPr>
        <w:pStyle w:val="p2Style"/>
      </w:pPr>
      <w:r>
        <w:rPr>
          <w:rStyle w:val="textStyle"/>
        </w:rPr>
        <w:t xml:space="preserve">Kompaktes Box-Gehäuse</w:t>
      </w:r>
    </w:p>
    <w:p>
      <w:pPr>
        <w:pStyle w:val="p2Style"/>
      </w:pPr>
      <w:r>
        <w:rPr>
          <w:rStyle w:val="textStyle"/>
        </w:rPr>
        <w:t xml:space="preserve">Motorgetriebenes Varifokal-Objektiv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008046.414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2026-10-19T07:53:20+00:00</dcterms:created>
  <dcterms:modified xsi:type="dcterms:W3CDTF">2026-10-19T07:53:20+00:00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