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 für Hanwha SSM, Wisenet Viewer und NVR, USB 3D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SmartViewer und SSM Videomanagement</w:t>
      </w:r>
    </w:p>
    <w:p>
      <w:pPr>
        <w:pStyle w:val="p2Style"/>
      </w:pPr>
      <w:r>
        <w:rPr>
          <w:rStyle w:val="textStyle"/>
        </w:rPr>
        <w:t xml:space="preserve">In Kombination mit der Verwendung eines PCs</w:t>
      </w:r>
    </w:p>
    <w:p>
      <w:pPr>
        <w:pStyle w:val="p2Style"/>
      </w:pPr>
      <w:r>
        <w:rPr>
          <w:rStyle w:val="textStyle"/>
        </w:rPr>
        <w:t xml:space="preserve">3D-Joystick-Steuerung</w:t>
      </w:r>
    </w:p>
    <w:p>
      <w:pPr>
        <w:pStyle w:val="p2Style"/>
      </w:pPr>
      <w:r>
        <w:rPr>
          <w:rStyle w:val="textStyle"/>
        </w:rPr>
        <w:t xml:space="preserve">Hall-Effekt 3 Achsen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2026-06-05T19:52:00+00:00</dcterms:created>
  <dcterms:modified xsi:type="dcterms:W3CDTF">2026-06-05T19:52:00+00:00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