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TU8002-E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Schutzklassen IP66/67, NEMA TS2</w:t>
      </w:r>
    </w:p>
    <w:p>
      <w:pPr>
        <w:pStyle w:val="p2Style"/>
      </w:pPr>
      <w:r>
        <w:rPr>
          <w:rStyle w:val="textStyle"/>
        </w:rPr>
        <w:t xml:space="preserve">IEEE 802.3af/at/bt und High PoE</w:t>
      </w:r>
    </w:p>
    <w:p>
      <w:pPr>
        <w:pStyle w:val="p2Style"/>
      </w:pPr>
      <w:r>
        <w:rPr>
          <w:rStyle w:val="textStyle"/>
        </w:rPr>
        <w:t xml:space="preserve">100-240 V Wechselstrom-Eingang</w:t>
      </w:r>
    </w:p>
    <w:p>
      <w:pPr>
        <w:pStyle w:val="p2Style"/>
      </w:pPr>
      <w:r>
        <w:rPr>
          <w:rStyle w:val="textStyle"/>
        </w:rPr>
        <w:t xml:space="preserve">Betriebstemperatur -40 °C bis 65 °C</w:t>
      </w:r>
    </w:p>
    <w:p>
      <w:pPr>
        <w:pStyle w:val="p2Style"/>
      </w:pPr>
      <w:r>
        <w:rPr>
          <w:rStyle w:val="textStyle"/>
        </w:rPr>
        <w:t xml:space="preserve">Entspricht den Vorgaben für den Schienenverkehr EN 50121-4 und IEC 62236-4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2026-09-05T22:59:32+00:00</dcterms:created>
  <dcterms:modified xsi:type="dcterms:W3CDTF">2026-09-05T22:59:32+00:00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