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Essence Security S-100 Smoke Generator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Rauchbehälter für MyShield, 12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Rauchkartuschen für MyShield</w:t>
      </w:r>
    </w:p>
    <w:p>
      <w:pPr>
        <w:pStyle w:val="p2Style"/>
      </w:pPr>
      <w:r>
        <w:rPr>
          <w:rStyle w:val="textStyle"/>
        </w:rPr>
        <w:t xml:space="preserve">Rauchausgaben: 30 Sekunden</w:t>
      </w:r>
    </w:p>
    <w:p>
      <w:pPr>
        <w:pStyle w:val="p2Style"/>
      </w:pPr>
      <w:r>
        <w:rPr>
          <w:rStyle w:val="textStyle"/>
        </w:rPr>
        <w:t xml:space="preserve">Rauchvolumen: 100 m</w:t>
      </w:r>
    </w:p>
    <w:p>
      <w:pPr>
        <w:pStyle w:val="p2Style"/>
      </w:pPr>
      <w:r>
        <w:rPr>
          <w:rStyle w:val="textStyle"/>
        </w:rPr>
        <w:t xml:space="preserve">12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S-100 Smoke Generator,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2026-07-14T15:46:48+00:00</dcterms:created>
  <dcterms:modified xsi:type="dcterms:W3CDTF">2026-07-14T15:46:48+00:00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