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Essence Security S-100 Smoke Generator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Rauchbehälter für MyShield, 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Rauchkartuschen für MyShield</w:t>
      </w:r>
    </w:p>
    <w:p>
      <w:pPr>
        <w:pStyle w:val="p2Style"/>
      </w:pPr>
      <w:r>
        <w:rPr>
          <w:rStyle w:val="textStyle"/>
        </w:rPr>
        <w:t xml:space="preserve">Rauchausgaben: 30 Sekunden</w:t>
      </w:r>
    </w:p>
    <w:p>
      <w:pPr>
        <w:pStyle w:val="p2Style"/>
      </w:pPr>
      <w:r>
        <w:rPr>
          <w:rStyle w:val="textStyle"/>
        </w:rPr>
        <w:t xml:space="preserve">Rauchvolumen: 100 m</w:t>
      </w:r>
    </w:p>
    <w:p>
      <w:pPr>
        <w:pStyle w:val="p2Style"/>
      </w:pPr>
      <w:r>
        <w:rPr>
          <w:rStyle w:val="textStyle"/>
        </w:rPr>
        <w:t xml:space="preserve">12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S-100 Smoke Generator,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MyShield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Essence Security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2026-05-30T14:07:22+00:00</dcterms:created>
  <dcterms:modified xsi:type="dcterms:W3CDTF">2026-05-30T14:07:22+00:00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