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237303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S8SP0303-001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Lüfterlos PSA mit 1 Sensor Fusion Engine-Lizenz, 4 TB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Plug and Play Hardware- und Videomanagementlösung</w:t>
      </w:r>
    </w:p>
    <w:p>
      <w:pPr>
        <w:pStyle w:val="p2Style"/>
      </w:pPr>
      <w:r>
        <w:rPr>
          <w:rStyle w:val="textStyle"/>
        </w:rPr>
        <w:t xml:space="preserve">Hochleistungsplattform für die Senstar Symphony Common Operating Plattform</w:t>
      </w:r>
    </w:p>
    <w:p>
      <w:pPr>
        <w:pStyle w:val="p2Style"/>
      </w:pPr>
      <w:r>
        <w:rPr>
          <w:rStyle w:val="textStyle"/>
        </w:rPr>
        <w:t xml:space="preserve">Lüfterlose PSA mit 1 Sensor Fusion Engine-Lizenz</w:t>
      </w:r>
    </w:p>
    <w:p>
      <w:pPr>
        <w:pStyle w:val="p2Style"/>
      </w:pPr>
      <w:r>
        <w:rPr>
          <w:rStyle w:val="textStyle"/>
        </w:rPr>
        <w:t xml:space="preserve">4 TB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S8SP0303-001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2026-06-05T19:52:15+00:00</dcterms:created>
  <dcterms:modified xsi:type="dcterms:W3CDTF">2026-06-05T19:52:15+00:00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