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Workstation, für vier Monitore bis 4K@25fps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Server-Funktionalität in Verbindung mit AXIS S30</w:t>
      </w:r>
    </w:p>
    <w:p>
      <w:pPr>
        <w:pStyle w:val="p2Style"/>
      </w:pPr>
      <w:r>
        <w:rPr>
          <w:rStyle w:val="textStyle"/>
        </w:rPr>
        <w:t xml:space="preserve">4 Monitoranschlüsse, je 4K Fullscreen @ 25 fps</w:t>
      </w:r>
    </w:p>
    <w:p>
      <w:pPr>
        <w:pStyle w:val="p2Style"/>
      </w:pPr>
      <w:r>
        <w:rPr>
          <w:rStyle w:val="textStyle"/>
        </w:rPr>
        <w:t xml:space="preserve">Intel UHD Grafikkarte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5 Jahre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2026-08-13T00:14:17+00:00</dcterms:created>
  <dcterms:modified xsi:type="dcterms:W3CDTF">2026-08-13T00:14:17+00:00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