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1080p Full HD Auflösung bei 60 fps, max. 1920x1080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Robuste Konstruktion und Steckverbinder</w:t>
      </w:r>
    </w:p>
    <w:p>
      <w:pPr>
        <w:pStyle w:val="p2Style"/>
      </w:pPr>
      <w:r>
        <w:rPr>
          <w:rStyle w:val="textStyle"/>
        </w:rPr>
        <w:t xml:space="preserve">Mehrere Sensor- und Kabeloptionen</w:t>
      </w:r>
    </w:p>
    <w:p>
      <w:pPr>
        <w:pStyle w:val="p2Style"/>
      </w:pPr>
      <w:r>
        <w:rPr>
          <w:rStyle w:val="textStyle"/>
        </w:rPr>
        <w:t xml:space="preserve">Unterstützung für 2-Wege-Audio und I/O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