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M3215-LVE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3,1mm, WDR, H265, Audio,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Dome-Gehäuse</w:t>
      </w:r>
    </w:p>
    <w:p>
      <w:pPr>
        <w:pStyle w:val="p2Style"/>
      </w:pPr>
      <w:r>
        <w:rPr>
          <w:rStyle w:val="textStyle"/>
        </w:rPr>
        <w:t xml:space="preserve">FullHD Auflösung (1920x1080), 25fps Bildrate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F2,0/3,1mm Festbrennweiten-Objektiv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Deep-Learning-Analysefunktionen DLPU</w:t>
      </w:r>
    </w:p>
    <w:p>
      <w:pPr>
        <w:pStyle w:val="p2Style"/>
      </w:pPr>
      <w:r>
        <w:rPr>
          <w:rStyle w:val="textStyle"/>
        </w:rPr>
        <w:t xml:space="preserve">Zwei-Wege Audio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Außengehäuse mit IP66 und IK10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(Farbe),0 Lux (SW,IR ein)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TM3815-E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ausgewählte AXIS M32 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TM3815-E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ausgewählte AXIS M32 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P32/M30 (Auswahl), Einbau in abgehängte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4 Stück, für AXIS P3267-LV/LVE, P3268-LV/LVE,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4 Stück, für AXIS P3267-LV/LVE, P3268-LV/LVE,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2026-06-05T20:45:48+00:00</dcterms:created>
  <dcterms:modified xsi:type="dcterms:W3CDTF">2026-06-05T20:45:48+00:00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