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LED Monitor, 4K UHD (3840x2160), 60Hz,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700:1(Min) 1000:1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14ms (typisch)</w:t>
      </w:r>
    </w:p>
    <w:p>
      <w:pPr>
        <w:pStyle w:val="p2Style"/>
      </w:pPr>
      <w:r>
        <w:rPr>
          <w:rStyle w:val="textStyle"/>
        </w:rPr>
        <w:t xml:space="preserve">Video-Eingang HDMI, DP</w:t>
      </w:r>
    </w:p>
    <w:p>
      <w:pPr>
        <w:pStyle w:val="p2Style"/>
      </w:pPr>
      <w:r>
        <w:rPr>
          <w:rStyle w:val="textStyle"/>
        </w:rPr>
        <w:t xml:space="preserve">Rahmenloses Design mit Monitorständer</w:t>
      </w:r>
    </w:p>
    <w:p>
      <w:pPr>
        <w:pStyle w:val="p2Style"/>
      </w:pPr>
      <w:r>
        <w:rPr>
          <w:rStyle w:val="textStyle"/>
        </w:rPr>
        <w:t xml:space="preserve">Lebensdauer des Panels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