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DS923+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Hotswap, ohne HDD,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 integrierte M.2 SSD-Steckplätze</w:t>
      </w:r>
    </w:p>
    <w:p>
      <w:pPr>
        <w:pStyle w:val="p2Style"/>
      </w:pPr>
      <w:r>
        <w:rPr>
          <w:rStyle w:val="textStyle"/>
        </w:rPr>
        <w:t xml:space="preserve">Leistungsstarker und skalierbarer 4-Bay NAS-Server</w:t>
      </w:r>
    </w:p>
    <w:p>
      <w:pPr>
        <w:pStyle w:val="p2Style"/>
      </w:pPr>
      <w:r>
        <w:rPr>
          <w:rStyle w:val="textStyle"/>
        </w:rPr>
        <w:t xml:space="preserve">Für professionelle NAS-Benutzer konzipiert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Dual Core CPU 2,6 GHz, Turbo bis 3,1 GHz</w:t>
      </w:r>
    </w:p>
    <w:p>
      <w:pPr>
        <w:pStyle w:val="p2Style"/>
      </w:pPr>
      <w:r>
        <w:rPr>
          <w:rStyle w:val="textStyle"/>
        </w:rPr>
        <w:t xml:space="preserve">Dual Gbit LAN mit Failover und Link Aggregation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2,6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3,5\" SATA (3Gb/s / 6Gb/s) oder 4x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DS923+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2026-06-05T18:34:44+00:00</dcterms:created>
  <dcterms:modified xsi:type="dcterms:W3CDTF">2026-06-05T18:34:44+00:00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