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NDE-5702-AL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3,4-10,2mm IR, IP66, IK10, PoE,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2-Megapixel-Auflösung bis 1920x1080 Pixel</w:t>
      </w:r>
    </w:p>
    <w:p>
      <w:pPr>
        <w:pStyle w:val="p2Style"/>
      </w:pPr>
      <w:r>
        <w:rPr>
          <w:rStyle w:val="textStyle"/>
        </w:rPr>
        <w:t xml:space="preserve">True Day&amp;Night mit Infrarotbeleuchtung</w:t>
      </w:r>
    </w:p>
    <w:p>
      <w:pPr>
        <w:pStyle w:val="p2Style"/>
      </w:pPr>
      <w:r>
        <w:rPr>
          <w:rStyle w:val="textStyle"/>
        </w:rPr>
        <w:t xml:space="preserve">Built-in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IVA Building Pack (MVC-IVA-BLD)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3,2-10,2mm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144dB)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FLEXIDOME 5100i m. Wetterschutzkappe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2026-06-05T18:40:32+00:00</dcterms:created>
  <dcterms:modified xsi:type="dcterms:W3CDTF">2026-06-05T18:40:32+00:00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