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SC-HAC01E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HD/EX-SDI nach AHD, EX-SDI 1.0/2.0, 1080p,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HD-SDI, EX-SDI nach AHD</w:t>
      </w:r>
    </w:p>
    <w:p>
      <w:pPr>
        <w:pStyle w:val="p2Style"/>
      </w:pPr>
      <w:r>
        <w:rPr>
          <w:rStyle w:val="textStyle"/>
        </w:rPr>
        <w:t xml:space="preserve">HD-SDI / EX-SDI 1.0/2.0 Einhang</w:t>
      </w:r>
    </w:p>
    <w:p>
      <w:pPr>
        <w:pStyle w:val="p2Style"/>
      </w:pPr>
      <w:r>
        <w:rPr>
          <w:rStyle w:val="textStyle"/>
        </w:rPr>
        <w:t xml:space="preserve">AHD Ausgang bis 1080p</w:t>
      </w:r>
    </w:p>
    <w:p>
      <w:pPr>
        <w:pStyle w:val="p2Style"/>
      </w:pPr>
      <w:r>
        <w:rPr>
          <w:rStyle w:val="textStyle"/>
        </w:rPr>
        <w:t xml:space="preserve">Unterstütze Auflösungen: 1080p 25/30Hz, 720p 25/30/60Hz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Hybridbetrieb mit analogen Kameras und SDI-DVRs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SC-HAC01E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2026-08-09T07:00:05+00:00</dcterms:created>
  <dcterms:modified xsi:type="dcterms:W3CDTF">2026-08-09T07:00:05+00:00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