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S1264 RACK 144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Rekorder,64 IP Kanäle (max. 80), 12x SATA, 144TB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64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80 Kanäle möglich</w:t>
      </w:r>
    </w:p>
    <w:p>
      <w:pPr>
        <w:pStyle w:val="p2Style"/>
      </w:pPr>
      <w:r>
        <w:rPr>
          <w:rStyle w:val="textStyle"/>
        </w:rPr>
        <w:t xml:space="preserve">Intel® Xeon® Silver, 2x 16GB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6 ab Werk, 120 TB nutzbarer Speicher</w:t>
      </w:r>
    </w:p>
    <w:p>
      <w:pPr>
        <w:pStyle w:val="p2Style"/>
      </w:pPr>
      <w:r>
        <w:rPr>
          <w:rStyle w:val="textStyle"/>
        </w:rPr>
        <w:t xml:space="preserve">Insgesamt 12 HDD Steckplätze, davon 0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19"/2HE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2026-08-06T13:06:14+00:00</dcterms:created>
  <dcterms:modified xsi:type="dcterms:W3CDTF">2026-08-06T13:06:14+00:00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