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S1264 RACK 64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Rekorder,64 IP Kanäle (max. 96), 12x SATA, 64TB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64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96 Kanäle möglich</w:t>
      </w:r>
    </w:p>
    <w:p>
      <w:pPr>
        <w:pStyle w:val="p2Style"/>
      </w:pPr>
      <w:r>
        <w:rPr>
          <w:rStyle w:val="textStyle"/>
        </w:rPr>
        <w:t xml:space="preserve">Intel® Xeon® Silver, 2x 8GB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5 ab Werk, 56 TB nutzbarer Speicher</w:t>
      </w:r>
    </w:p>
    <w:p>
      <w:pPr>
        <w:pStyle w:val="p2Style"/>
      </w:pPr>
      <w:r>
        <w:rPr>
          <w:rStyle w:val="textStyle"/>
        </w:rPr>
        <w:t xml:space="preserve">Insgesamt 12 HDD Steckplätze, davon 4 freie</w:t>
      </w:r>
    </w:p>
    <w:p>
      <w:pPr>
        <w:pStyle w:val="p2Style"/>
      </w:pPr>
      <w:r>
        <w:rPr>
          <w:rStyle w:val="textStyle"/>
        </w:rPr>
        <w:t xml:space="preserve">Microsoft Windows 10 Enterprise auf 240 GB SSD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Rackeinbaugehäuse, 19"/2HE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2026-06-05T18:39:45+00:00</dcterms:created>
  <dcterms:modified xsi:type="dcterms:W3CDTF">2026-06-05T18:39:45+00:00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