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S1264 RACK 64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Rekorder,64 IP Kanäle (max. 96), 12x SATA, 64TB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64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96 Kanäle möglich</w:t>
      </w:r>
    </w:p>
    <w:p>
      <w:pPr>
        <w:pStyle w:val="p2Style"/>
      </w:pPr>
      <w:r>
        <w:rPr>
          <w:rStyle w:val="textStyle"/>
        </w:rPr>
        <w:t xml:space="preserve">Intel® Xeon® Silver,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56 TB nutzbarer Speicher</w:t>
      </w:r>
    </w:p>
    <w:p>
      <w:pPr>
        <w:pStyle w:val="p2Style"/>
      </w:pPr>
      <w:r>
        <w:rPr>
          <w:rStyle w:val="textStyle"/>
        </w:rPr>
        <w:t xml:space="preserve">Insgesamt 12 HDD Steckplätze, davon 4 freie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19"/2HE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2026-07-21T08:11:07+00:00</dcterms:created>
  <dcterms:modified xsi:type="dcterms:W3CDTF">2026-07-21T08:11:07+00:00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