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RACK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4x SATA, 32TB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24 TB nutzbarer Speicher</w:t>
      </w:r>
    </w:p>
    <w:p>
      <w:pPr>
        <w:pStyle w:val="p2Style"/>
      </w:pPr>
      <w:r>
        <w:rPr>
          <w:rStyle w:val="textStyle"/>
        </w:rPr>
        <w:t xml:space="preserve">Insgesamt 4 HDD Steckplätze, davon 0 freie</w:t>
      </w:r>
    </w:p>
    <w:p>
      <w:pPr>
        <w:pStyle w:val="p2Style"/>
      </w:pPr>
      <w:r>
        <w:rPr>
          <w:rStyle w:val="textStyle"/>
        </w:rPr>
        <w:t xml:space="preserve">Microsoft Windows 11 IoT Enterprise LTSC 2024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Rackeinbaugehäuse, 19"/1HE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