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S1232 RACK 16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Rekorder,32 IP Kanäle (max. 64), 4x SATA, 16TB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32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64 Kanäle möglich</w:t>
      </w:r>
    </w:p>
    <w:p>
      <w:pPr>
        <w:pStyle w:val="p2Style"/>
      </w:pPr>
      <w:r>
        <w:rPr>
          <w:rStyle w:val="textStyle"/>
        </w:rPr>
        <w:t xml:space="preserve">512 Mbit/s Gesamtdatendurchsatz (Aufnahme)</w:t>
      </w:r>
    </w:p>
    <w:p>
      <w:pPr>
        <w:pStyle w:val="p2Style"/>
      </w:pPr>
      <w:r>
        <w:rPr>
          <w:rStyle w:val="textStyle"/>
        </w:rPr>
        <w:t xml:space="preserve">Intel® Xeon® E, 2x 8GB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5 ab Werk, 12 TB nutzbarer Speicher</w:t>
      </w:r>
    </w:p>
    <w:p>
      <w:pPr>
        <w:pStyle w:val="p2Style"/>
      </w:pPr>
      <w:r>
        <w:rPr>
          <w:rStyle w:val="textStyle"/>
        </w:rPr>
        <w:t xml:space="preserve">Insgesamt 4 HDD Steckplätze, davon 0 freie</w:t>
      </w:r>
    </w:p>
    <w:p>
      <w:pPr>
        <w:pStyle w:val="p2Style"/>
      </w:pPr>
      <w:r>
        <w:rPr>
          <w:rStyle w:val="textStyle"/>
        </w:rPr>
        <w:t xml:space="preserve">Microsoft Windows 11 IoT Enterprise LTSC 2024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Rackeinbaugehäuse, 19"/1HE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2026-06-05T18:39:38+00:00</dcterms:created>
  <dcterms:modified xsi:type="dcterms:W3CDTF">2026-06-05T18:39:38+00:00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