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HD Analog (AHD / 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Unterstützung für HD-Analogsignale mit mehreren Formaten (AHD / TVI)</w:t>
      </w:r>
    </w:p>
    <w:p>
      <w:pPr>
        <w:pStyle w:val="p2Style"/>
      </w:pPr>
      <w:r>
        <w:rPr>
          <w:rStyle w:val="textStyle"/>
        </w:rPr>
        <w:t xml:space="preserve">Unterstützung für AHD / TVI-Signale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Übertragung über RG-59-Koaxialkabel bis zu 350 m</w:t>
      </w:r>
    </w:p>
    <w:p>
      <w:pPr>
        <w:pStyle w:val="p2Style"/>
      </w:pPr>
      <w:r>
        <w:rPr>
          <w:rStyle w:val="textStyle"/>
        </w:rPr>
        <w:t xml:space="preserve">UTC-Funktionen, PoC bis 10 W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48VDC, 56VDC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2026-06-25T04:32:57+00:00</dcterms:created>
  <dcterms:modified xsi:type="dcterms:W3CDTF">2026-06-25T04:32:57+00:00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