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PO-5502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1920x1080, 2500 nits,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</w:t>
      </w:r>
    </w:p>
    <w:p>
      <w:pPr>
        <w:pStyle w:val="p2Style"/>
      </w:pPr>
      <w:r>
        <w:rPr>
          <w:rStyle w:val="textStyle"/>
        </w:rPr>
        <w:t xml:space="preserve">Ultra-High Brightness</w:t>
      </w:r>
    </w:p>
    <w:p>
      <w:pPr>
        <w:pStyle w:val="p2Style"/>
      </w:pPr>
      <w:r>
        <w:rPr>
          <w:rStyle w:val="textStyle"/>
        </w:rPr>
        <w:t xml:space="preserve">2.500 nits</w:t>
      </w:r>
    </w:p>
    <w:p>
      <w:pPr>
        <w:pStyle w:val="p2Style"/>
      </w:pPr>
      <w:r>
        <w:rPr>
          <w:rStyle w:val="textStyle"/>
        </w:rPr>
        <w:t xml:space="preserve">Bei Sonnenlicht lesbares Panel</w:t>
      </w:r>
    </w:p>
    <w:p>
      <w:pPr>
        <w:pStyle w:val="p2Style"/>
      </w:pPr>
      <w:r>
        <w:rPr>
          <w:rStyle w:val="textStyle"/>
        </w:rPr>
        <w:t xml:space="preserve">Kompatibel mit Gehäuse LOC-55</w:t>
      </w:r>
    </w:p>
    <w:p>
      <w:pPr>
        <w:pStyle w:val="p2Style"/>
      </w:pPr>
      <w:r>
        <w:rPr>
          <w:rStyle w:val="textStyle"/>
        </w:rPr>
        <w:t xml:space="preserve">2 x HDMI, DisplayPort, VGA</w:t>
      </w:r>
    </w:p>
    <w:p>
      <w:pPr>
        <w:pStyle w:val="p2Style"/>
      </w:pPr>
      <w:r>
        <w:rPr>
          <w:rStyle w:val="textStyle"/>
        </w:rPr>
        <w:t xml:space="preserve">VESA 600x400mm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PO552011M0000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2026-06-26T13:28:15+00:00</dcterms:created>
  <dcterms:modified xsi:type="dcterms:W3CDTF">2026-06-26T13:28:15+00:00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