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(60,9cm) LCD Monitor, LED, 1920x1080, HDMI, VGA,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4000:1 (typisch)</w:t>
      </w:r>
    </w:p>
    <w:p>
      <w:pPr>
        <w:pStyle w:val="p2Style"/>
      </w:pPr>
      <w:r>
        <w:rPr>
          <w:rStyle w:val="textStyle"/>
        </w:rPr>
        <w:t xml:space="preserve">Max. Helligkeit: 250 cd/m²</w:t>
      </w:r>
    </w:p>
    <w:p>
      <w:pPr>
        <w:pStyle w:val="p2Style"/>
      </w:pPr>
      <w:r>
        <w:rPr>
          <w:rStyle w:val="textStyle"/>
        </w:rPr>
        <w:t xml:space="preserve">Reaktionszeit von 14ms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 und VGA Eingänge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SMT-2431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2026-06-14T15:19:33+00:00</dcterms:created>
  <dcterms:modified xsi:type="dcterms:W3CDTF">2026-06-14T15:19:33+00:00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