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SI-Z5.EU.CO.65-30.M.WO.WP.AP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AX, 65-30mm, Antipanik,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 Serie - Längenmodular</w:t>
      </w:r>
    </w:p>
    <w:p>
      <w:pPr>
        <w:pStyle w:val="p2Style"/>
      </w:pPr>
      <w:r>
        <w:rPr>
          <w:rStyle w:val="textStyle"/>
        </w:rPr>
        <w:t xml:space="preserve">Intergrierter Bohrschutz</w:t>
      </w:r>
    </w:p>
    <w:p>
      <w:pPr>
        <w:pStyle w:val="p2Style"/>
      </w:pPr>
      <w:r>
        <w:rPr>
          <w:rStyle w:val="textStyle"/>
        </w:rPr>
        <w:t xml:space="preserve">Baulänge 65-30 mm</w:t>
      </w:r>
    </w:p>
    <w:p>
      <w:pPr>
        <w:pStyle w:val="p2Style"/>
      </w:pPr>
      <w:r>
        <w:rPr>
          <w:rStyle w:val="textStyle"/>
        </w:rPr>
        <w:t xml:space="preserve">Wetterfeste Version: IP67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Panikfunktion R1 nach DIN 18252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SI-Z5.EU.CO.65-30.M.WO.WP.AP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 AX Comfort Wetterfest Antipanik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2026-06-23T11:59:46+00:00</dcterms:created>
  <dcterms:modified xsi:type="dcterms:W3CDTF">2026-06-23T11:59:46+00:00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