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DS-2CD1043G0-I(2.8mm)(C)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H.265+, IP67,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1-Serie</w:t>
      </w:r>
    </w:p>
    <w:p>
      <w:pPr>
        <w:pStyle w:val="p2Style"/>
      </w:pPr>
      <w:r>
        <w:rPr>
          <w:rStyle w:val="textStyle"/>
        </w:rPr>
        <w:t xml:space="preserve">Bullet Bauform mit Festbrenntweite 2,8mm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IP67: geeignet für den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2026-07-21T09:29:52+00:00</dcterms:created>
  <dcterms:modified xsi:type="dcterms:W3CDTF">2026-07-21T09:29:52+00:00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