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DLPU, Tag/Nacht, 3840x2160, IP67, IK10, 6,2-12,9mm,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4K UHD Auflösung (3840x2160), max. 50fps Bildrate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F1,6/6,2-12,9mm motorisiertes Varifokal Objektiv mit P-Iris</w:t>
      </w:r>
    </w:p>
    <w:p>
      <w:pPr>
        <w:pStyle w:val="p2Style"/>
      </w:pPr>
      <w:r>
        <w:rPr>
          <w:rStyle w:val="textStyle"/>
        </w:rPr>
        <w:t xml:space="preserve">Lightfinder 2.0, Forensic WDR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Deep-Learning-Analysefunktionen DLPU</w:t>
      </w:r>
    </w:p>
    <w:p>
      <w:pPr>
        <w:pStyle w:val="p2Style"/>
      </w:pPr>
      <w:r>
        <w:rPr>
          <w:rStyle w:val="textStyle"/>
        </w:rPr>
        <w:t xml:space="preserve">Infrarotbeleuchtung bis 40m, OptimizedIR</w:t>
      </w:r>
    </w:p>
    <w:p>
      <w:pPr>
        <w:pStyle w:val="p2Style"/>
      </w:pPr>
      <w:r>
        <w:rPr>
          <w:rStyle w:val="textStyle"/>
        </w:rPr>
        <w:t xml:space="preserve">Audio- und E/A-Konnektivität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Außengehäuse mit IP66/IP67, NEMA 4X und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