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P1468-LE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DLPU, Tag/Nacht, 3840x2160, IP67, IK10, 6,2-12,9mm,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Bullet-Style Gehäuse</w:t>
      </w:r>
    </w:p>
    <w:p>
      <w:pPr>
        <w:pStyle w:val="p2Style"/>
      </w:pPr>
      <w:r>
        <w:rPr>
          <w:rStyle w:val="textStyle"/>
        </w:rPr>
        <w:t xml:space="preserve">4K UHD Auflösung (3840x2160), max. 50fps Bildrate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F1,6/6,2-12,9mm motorisiertes Varifokal Objektiv mit P-Iris</w:t>
      </w:r>
    </w:p>
    <w:p>
      <w:pPr>
        <w:pStyle w:val="p2Style"/>
      </w:pPr>
      <w:r>
        <w:rPr>
          <w:rStyle w:val="textStyle"/>
        </w:rPr>
        <w:t xml:space="preserve">Lightfinder 2.0, Forensic WDR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Deep-Learning-Analysefunktionen DLPU</w:t>
      </w:r>
    </w:p>
    <w:p>
      <w:pPr>
        <w:pStyle w:val="p2Style"/>
      </w:pPr>
      <w:r>
        <w:rPr>
          <w:rStyle w:val="textStyle"/>
        </w:rPr>
        <w:t xml:space="preserve">Infrarotbeleuchtung bis 40m, OptimizedIR</w:t>
      </w:r>
    </w:p>
    <w:p>
      <w:pPr>
        <w:pStyle w:val="p2Style"/>
      </w:pPr>
      <w:r>
        <w:rPr>
          <w:rStyle w:val="textStyle"/>
        </w:rPr>
        <w:t xml:space="preserve">Audio- und E/A-Konnektivität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Außengehäuse mit IP66/IP67, NEMA 4X und IK10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6,2 - 12,9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2026-07-21T10:23:42+00:00</dcterms:created>
  <dcterms:modified xsi:type="dcterms:W3CDTF">2026-07-21T10:23:42+00:00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