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DS-2CE17H0T-IT3E(3.6mm)(O-STD)(C)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5 MP und einer Auflösung von 2560 × 1944</w:t>
      </w:r>
    </w:p>
    <w:p>
      <w:pPr>
        <w:pStyle w:val="p2Style"/>
      </w:pPr>
      <w:r>
        <w:rPr>
          <w:rStyle w:val="textStyle"/>
        </w:rPr>
        <w:t xml:space="preserve">Objektive mit festen Brennweiten von 2,8 mm, 3,6 mm und 6 mm</w:t>
      </w:r>
    </w:p>
    <w:p>
      <w:pPr>
        <w:pStyle w:val="p2Style"/>
      </w:pPr>
      <w:r>
        <w:rPr>
          <w:rStyle w:val="textStyle"/>
        </w:rPr>
        <w:t xml:space="preserve">IR-Reichweite von bis zu 40 m für helle Nachtaufnahmen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2026-08-20T07:17:44+00:00</dcterms:created>
  <dcterms:modified xsi:type="dcterms:W3CDTF">2026-08-20T07:17:44+00:00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