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TA4201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A4120-E Leser, Kunststoff,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 für AXIS A4120-E</w:t>
      </w:r>
    </w:p>
    <w:p>
      <w:pPr>
        <w:pStyle w:val="p2Style"/>
      </w:pPr>
      <w:r>
        <w:rPr>
          <w:rStyle w:val="textStyle"/>
        </w:rPr>
        <w:t xml:space="preserve">Schutz des Lesegeräts vor extremen Bedingungen</w:t>
      </w:r>
    </w:p>
    <w:p>
      <w:pPr>
        <w:pStyle w:val="p2Style"/>
      </w:pPr>
      <w:r>
        <w:rPr>
          <w:rStyle w:val="textStyle"/>
        </w:rPr>
        <w:t xml:space="preserve">Glasfaserverstärkter und UV-beständiger Kunststoff</w:t>
      </w:r>
    </w:p>
    <w:p>
      <w:pPr>
        <w:pStyle w:val="p2Style"/>
      </w:pPr>
      <w:r>
        <w:rPr>
          <w:rStyle w:val="textStyle"/>
        </w:rPr>
        <w:t xml:space="preserve">Robustheit für den Einsatz in rauen Außenumgebungen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2026-10-19T11:13:29+00:00</dcterms:created>
  <dcterms:modified xsi:type="dcterms:W3CDTF">2026-10-19T11:13:29+00:00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